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rPr>
          <w:rFonts w:ascii="Verdana" w:hAnsi="Verdana" w:cs="Tahoma"/>
        </w:rPr>
      </w:pPr>
      <w:r>
        <w:rPr>
          <w:rFonts w:ascii="Verdana" w:hAnsi="Verdana" w:cs="Tahoma"/>
          <w:noProof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-829945</wp:posOffset>
            </wp:positionV>
            <wp:extent cx="3543300" cy="1058545"/>
            <wp:effectExtent l="19050" t="0" r="0" b="0"/>
            <wp:wrapNone/>
            <wp:docPr id="5" name="Picture 5" descr="New MIC Logo 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ew MIC Logo Whit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58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Verdana" w:hAnsi="Verdana" w:cs="Tahoma"/>
        </w:rPr>
      </w:pPr>
      <w:r>
        <w:rPr>
          <w:noProof/>
          <w:sz w:val="20"/>
        </w:rPr>
        <w:pict>
          <v:line id="_x0000_s1027" style="position:absolute;left:0;text-align:left;z-index:251657216" from="9pt,3.4pt" to="447pt,3.4pt" strokecolor="red"/>
        </w:pict>
      </w:r>
    </w:p>
    <w:p>
      <w:pPr>
        <w:jc w:val="center"/>
        <w:rPr>
          <w:sz w:val="20"/>
        </w:rPr>
      </w:pPr>
      <w:r>
        <w:rPr>
          <w:sz w:val="20"/>
        </w:rPr>
        <w:t>Green Village</w:t>
      </w:r>
      <w:r>
        <w:rPr>
          <w:sz w:val="20"/>
        </w:rPr>
        <w:t xml:space="preserve"> - </w:t>
      </w:r>
      <w:r>
        <w:rPr>
          <w:sz w:val="20"/>
        </w:rPr>
        <w:t>Kabul, Afghanistan</w:t>
      </w:r>
    </w:p>
    <w:p>
      <w:pPr>
        <w:jc w:val="center"/>
        <w:rPr>
          <w:sz w:val="20"/>
        </w:rPr>
      </w:pPr>
      <w:r>
        <w:rPr>
          <w:sz w:val="20"/>
        </w:rPr>
        <w:t>Afghan Cell</w:t>
      </w:r>
      <w:r>
        <w:rPr>
          <w:sz w:val="20"/>
        </w:rPr>
        <w:t xml:space="preserve">:  </w:t>
      </w:r>
      <w:r>
        <w:rPr>
          <w:sz w:val="20"/>
        </w:rPr>
        <w:t>+93 (0) 707 02 0430</w:t>
      </w:r>
      <w:r>
        <w:rPr>
          <w:sz w:val="20"/>
        </w:rPr>
        <w:tab/>
        <w:t>Belgian GSM:  +32.473.719.667</w:t>
      </w:r>
    </w:p>
    <w:p>
      <w:pPr>
        <w:rPr>
          <w:sz w:val="22"/>
          <w:szCs w:val="22"/>
        </w:rPr>
      </w:pPr>
    </w:p>
    <w:p>
      <w:pPr>
        <w:jc w:val="right"/>
        <w:rPr>
          <w:rFonts w:ascii="Baskerville Old Face" w:hAnsi="Baskerville Old Face"/>
          <w:sz w:val="22"/>
          <w:szCs w:val="22"/>
        </w:rPr>
      </w:pPr>
      <w:r>
        <w:rPr>
          <w:sz w:val="22"/>
          <w:szCs w:val="22"/>
        </w:rPr>
        <w:t>April 24, 2010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MEMORANDUM FOR MR. KAWA BAHA, DIRECTOR, IT, NCS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Subject:  </w:t>
      </w:r>
      <w:r>
        <w:rPr>
          <w:sz w:val="22"/>
          <w:szCs w:val="22"/>
        </w:rPr>
        <w:t xml:space="preserve">Polycom </w:t>
      </w:r>
      <w:r>
        <w:rPr>
          <w:sz w:val="22"/>
          <w:szCs w:val="22"/>
        </w:rPr>
        <w:t xml:space="preserve">Immersive Telepresence </w:t>
      </w:r>
      <w:r>
        <w:rPr>
          <w:sz w:val="22"/>
          <w:szCs w:val="22"/>
        </w:rPr>
        <w:t>VTC Equipment - Cost Estimates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sz w:val="22"/>
          <w:szCs w:val="22"/>
        </w:rPr>
        <w:t>Attachments:</w:t>
      </w:r>
    </w:p>
    <w:p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RPX 210, RPX 218, RPX 418, TPX 306M</w:t>
      </w:r>
    </w:p>
    <w:p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HDX 7000, 8000, 9000 and HDX 7000 and 8000 Media </w:t>
      </w:r>
      <w:r>
        <w:rPr>
          <w:sz w:val="22"/>
          <w:szCs w:val="22"/>
        </w:rPr>
        <w:t>Center</w:t>
      </w:r>
    </w:p>
    <w:p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H</w:t>
      </w:r>
      <w:r>
        <w:rPr>
          <w:sz w:val="22"/>
          <w:szCs w:val="22"/>
        </w:rPr>
        <w:t>DX 4002 XL</w:t>
      </w:r>
    </w:p>
    <w:p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Infrastructure Products – CMA 5000, RMX 2000, DMA 7000 and RSS 4000</w:t>
      </w:r>
    </w:p>
    <w:p>
      <w:pPr>
        <w:rPr>
          <w:sz w:val="22"/>
          <w:szCs w:val="22"/>
        </w:rPr>
      </w:pPr>
    </w:p>
    <w:p>
      <w:pPr>
        <w:ind w:right="-513"/>
        <w:rPr>
          <w:sz w:val="22"/>
          <w:szCs w:val="22"/>
        </w:rPr>
      </w:pPr>
      <w:r>
        <w:rPr>
          <w:sz w:val="22"/>
          <w:szCs w:val="22"/>
        </w:rPr>
        <w:t xml:space="preserve">As discussed, we are pleased to forward you </w:t>
      </w:r>
      <w:r>
        <w:rPr>
          <w:sz w:val="22"/>
          <w:szCs w:val="22"/>
        </w:rPr>
        <w:t xml:space="preserve">the </w:t>
      </w:r>
      <w:r>
        <w:rPr>
          <w:sz w:val="22"/>
          <w:szCs w:val="22"/>
        </w:rPr>
        <w:t>enclosed VTC cost estimates</w:t>
      </w:r>
      <w:r>
        <w:rPr>
          <w:sz w:val="22"/>
          <w:szCs w:val="22"/>
        </w:rPr>
        <w:t>.  W</w:t>
      </w:r>
      <w:r>
        <w:rPr>
          <w:sz w:val="22"/>
          <w:szCs w:val="22"/>
        </w:rPr>
        <w:t>e have provided substantially reduced prices, to include added discounts for multiple purchases.  These estimates should allow you to plan your funding requirements and they also demonstrate the ManTech/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Polycom team’s efforts to provide GIRoA with its unique fully immersive telepresence at the best possible prices.</w:t>
      </w:r>
    </w:p>
    <w:p>
      <w:pPr>
        <w:ind w:right="-513"/>
        <w:rPr>
          <w:sz w:val="22"/>
          <w:szCs w:val="22"/>
        </w:rPr>
      </w:pPr>
    </w:p>
    <w:p>
      <w:pPr>
        <w:ind w:right="-513"/>
        <w:rPr>
          <w:sz w:val="22"/>
          <w:szCs w:val="22"/>
        </w:rPr>
      </w:pPr>
      <w:r>
        <w:rPr>
          <w:sz w:val="22"/>
          <w:szCs w:val="22"/>
        </w:rPr>
        <w:t>Due to the short turnaround, t</w:t>
      </w:r>
      <w:r>
        <w:rPr>
          <w:sz w:val="22"/>
          <w:szCs w:val="22"/>
        </w:rPr>
        <w:t xml:space="preserve">hese </w:t>
      </w:r>
      <w:r>
        <w:rPr>
          <w:sz w:val="22"/>
          <w:szCs w:val="22"/>
        </w:rPr>
        <w:t xml:space="preserve">are </w:t>
      </w:r>
      <w:r>
        <w:rPr>
          <w:sz w:val="22"/>
          <w:szCs w:val="22"/>
        </w:rPr>
        <w:t>cost estimate</w:t>
      </w:r>
      <w:r>
        <w:rPr>
          <w:sz w:val="22"/>
          <w:szCs w:val="22"/>
        </w:rPr>
        <w:t xml:space="preserve">s only and they </w:t>
      </w:r>
      <w:r>
        <w:rPr>
          <w:sz w:val="22"/>
          <w:szCs w:val="22"/>
        </w:rPr>
        <w:t>include only the equipment</w:t>
      </w:r>
      <w:r>
        <w:rPr>
          <w:sz w:val="22"/>
          <w:szCs w:val="22"/>
        </w:rPr>
        <w:t xml:space="preserve">.  </w:t>
      </w:r>
      <w:r>
        <w:rPr>
          <w:sz w:val="22"/>
          <w:szCs w:val="22"/>
        </w:rPr>
        <w:t xml:space="preserve">Since your overall requirements and configurations are still to be determined, </w:t>
      </w:r>
      <w:r>
        <w:rPr>
          <w:sz w:val="22"/>
          <w:szCs w:val="22"/>
        </w:rPr>
        <w:t xml:space="preserve">they </w:t>
      </w:r>
      <w:r>
        <w:rPr>
          <w:sz w:val="22"/>
          <w:szCs w:val="22"/>
        </w:rPr>
        <w:t>do not include:</w:t>
      </w:r>
    </w:p>
    <w:p>
      <w:pPr>
        <w:ind w:right="-513"/>
        <w:rPr>
          <w:sz w:val="22"/>
          <w:szCs w:val="22"/>
        </w:rPr>
      </w:pPr>
    </w:p>
    <w:p>
      <w:pPr>
        <w:numPr>
          <w:ilvl w:val="0"/>
          <w:numId w:val="1"/>
        </w:numPr>
        <w:ind w:right="-513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z w:val="22"/>
          <w:szCs w:val="22"/>
        </w:rPr>
        <w:t>hipping, installation/implementation and make ready services</w:t>
      </w:r>
      <w:r>
        <w:rPr>
          <w:sz w:val="22"/>
          <w:szCs w:val="22"/>
        </w:rPr>
        <w:t>;</w:t>
      </w:r>
    </w:p>
    <w:p>
      <w:pPr>
        <w:numPr>
          <w:ilvl w:val="0"/>
          <w:numId w:val="1"/>
        </w:numPr>
        <w:ind w:right="-513"/>
        <w:rPr>
          <w:sz w:val="22"/>
          <w:szCs w:val="22"/>
        </w:rPr>
      </w:pPr>
      <w:r>
        <w:rPr>
          <w:sz w:val="22"/>
          <w:szCs w:val="22"/>
        </w:rPr>
        <w:t>Engineering</w:t>
      </w:r>
      <w:r>
        <w:rPr>
          <w:sz w:val="22"/>
          <w:szCs w:val="22"/>
        </w:rPr>
        <w:t xml:space="preserve"> and labor</w:t>
      </w:r>
      <w:r>
        <w:rPr>
          <w:sz w:val="22"/>
          <w:szCs w:val="22"/>
        </w:rPr>
        <w:t>;</w:t>
      </w:r>
    </w:p>
    <w:p>
      <w:pPr>
        <w:numPr>
          <w:ilvl w:val="0"/>
          <w:numId w:val="1"/>
        </w:numPr>
        <w:ind w:right="-513"/>
        <w:rPr>
          <w:sz w:val="22"/>
          <w:szCs w:val="22"/>
        </w:rPr>
      </w:pPr>
      <w:r>
        <w:rPr>
          <w:sz w:val="22"/>
          <w:szCs w:val="22"/>
        </w:rPr>
        <w:t>Limited warranty and maintenance;</w:t>
      </w:r>
    </w:p>
    <w:p>
      <w:pPr>
        <w:numPr>
          <w:ilvl w:val="0"/>
          <w:numId w:val="1"/>
        </w:numPr>
        <w:ind w:right="-513"/>
        <w:rPr>
          <w:sz w:val="22"/>
          <w:szCs w:val="22"/>
        </w:rPr>
      </w:pPr>
      <w:r>
        <w:rPr>
          <w:sz w:val="22"/>
          <w:szCs w:val="22"/>
        </w:rPr>
        <w:t>Travel by the site survey and installation</w:t>
      </w:r>
      <w:r>
        <w:rPr>
          <w:sz w:val="22"/>
          <w:szCs w:val="22"/>
        </w:rPr>
        <w:t xml:space="preserve"> team</w:t>
      </w:r>
      <w:r>
        <w:rPr>
          <w:sz w:val="22"/>
          <w:szCs w:val="22"/>
        </w:rPr>
        <w:t xml:space="preserve"> member(s);</w:t>
      </w:r>
    </w:p>
    <w:p>
      <w:pPr>
        <w:numPr>
          <w:ilvl w:val="0"/>
          <w:numId w:val="1"/>
        </w:numPr>
        <w:ind w:right="-513"/>
        <w:rPr>
          <w:sz w:val="22"/>
          <w:szCs w:val="22"/>
        </w:rPr>
      </w:pPr>
      <w:r>
        <w:rPr>
          <w:sz w:val="22"/>
          <w:szCs w:val="22"/>
        </w:rPr>
        <w:t>Training costs for your VNOC technicians</w:t>
      </w:r>
      <w:r>
        <w:rPr>
          <w:sz w:val="22"/>
          <w:szCs w:val="22"/>
        </w:rPr>
        <w:t xml:space="preserve"> and maintenance personnel</w:t>
      </w:r>
      <w:r>
        <w:rPr>
          <w:sz w:val="22"/>
          <w:szCs w:val="22"/>
        </w:rPr>
        <w:t>;</w:t>
      </w:r>
    </w:p>
    <w:p>
      <w:pPr>
        <w:numPr>
          <w:ilvl w:val="0"/>
          <w:numId w:val="1"/>
        </w:numPr>
        <w:ind w:right="-513"/>
        <w:rPr>
          <w:sz w:val="22"/>
          <w:szCs w:val="22"/>
        </w:rPr>
      </w:pPr>
      <w:r>
        <w:rPr>
          <w:sz w:val="22"/>
          <w:szCs w:val="22"/>
        </w:rPr>
        <w:t>Security related requirements from the US Government (</w:t>
      </w:r>
      <w:r>
        <w:rPr>
          <w:sz w:val="22"/>
          <w:szCs w:val="22"/>
        </w:rPr>
        <w:t xml:space="preserve">i.e., </w:t>
      </w:r>
      <w:r>
        <w:rPr>
          <w:sz w:val="22"/>
          <w:szCs w:val="22"/>
        </w:rPr>
        <w:t>body armor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t>insurance);</w:t>
      </w:r>
    </w:p>
    <w:p>
      <w:pPr>
        <w:numPr>
          <w:ilvl w:val="0"/>
          <w:numId w:val="1"/>
        </w:numPr>
        <w:ind w:right="-513"/>
        <w:rPr>
          <w:sz w:val="22"/>
          <w:szCs w:val="22"/>
        </w:rPr>
      </w:pPr>
      <w:r>
        <w:rPr>
          <w:sz w:val="22"/>
          <w:szCs w:val="22"/>
        </w:rPr>
        <w:t>Handling fees of our Afghan partner company.</w:t>
      </w:r>
    </w:p>
    <w:p>
      <w:pPr>
        <w:ind w:right="-513"/>
        <w:rPr>
          <w:sz w:val="22"/>
          <w:szCs w:val="22"/>
        </w:rPr>
      </w:pPr>
    </w:p>
    <w:p>
      <w:pPr>
        <w:ind w:right="-513"/>
        <w:rPr>
          <w:sz w:val="22"/>
          <w:szCs w:val="22"/>
        </w:rPr>
      </w:pPr>
      <w:r>
        <w:rPr>
          <w:sz w:val="22"/>
          <w:szCs w:val="22"/>
        </w:rPr>
        <w:t>If you desire to establish your own in-country VNOC team, we recommend you purchase the following minimal infrastructure</w:t>
      </w:r>
      <w:r>
        <w:rPr>
          <w:sz w:val="22"/>
          <w:szCs w:val="22"/>
        </w:rPr>
        <w:t xml:space="preserve"> components</w:t>
      </w:r>
      <w:r>
        <w:rPr>
          <w:sz w:val="22"/>
          <w:szCs w:val="22"/>
        </w:rPr>
        <w:t>:</w:t>
      </w:r>
    </w:p>
    <w:p>
      <w:pPr>
        <w:ind w:right="-513"/>
        <w:rPr>
          <w:sz w:val="22"/>
          <w:szCs w:val="22"/>
        </w:rPr>
      </w:pPr>
    </w:p>
    <w:p>
      <w:pPr>
        <w:numPr>
          <w:ilvl w:val="0"/>
          <w:numId w:val="1"/>
        </w:numPr>
        <w:ind w:right="-513"/>
        <w:rPr>
          <w:sz w:val="22"/>
          <w:szCs w:val="22"/>
        </w:rPr>
      </w:pPr>
      <w:r>
        <w:rPr>
          <w:sz w:val="22"/>
          <w:szCs w:val="22"/>
        </w:rPr>
        <w:t xml:space="preserve">Converged Management Application (CMA):  </w:t>
      </w:r>
      <w:r>
        <w:rPr>
          <w:sz w:val="22"/>
          <w:szCs w:val="22"/>
        </w:rPr>
        <w:t>Call management</w:t>
      </w:r>
      <w:r>
        <w:rPr>
          <w:sz w:val="22"/>
          <w:szCs w:val="22"/>
        </w:rPr>
        <w:t>, schedul</w:t>
      </w:r>
      <w:r>
        <w:rPr>
          <w:sz w:val="22"/>
          <w:szCs w:val="22"/>
        </w:rPr>
        <w:t xml:space="preserve">ing, </w:t>
      </w:r>
      <w:r>
        <w:rPr>
          <w:sz w:val="22"/>
          <w:szCs w:val="22"/>
        </w:rPr>
        <w:t xml:space="preserve"> desktop client </w:t>
      </w:r>
      <w:r>
        <w:rPr>
          <w:sz w:val="22"/>
          <w:szCs w:val="22"/>
        </w:rPr>
        <w:t>licensing</w:t>
      </w:r>
      <w:r>
        <w:rPr>
          <w:sz w:val="22"/>
          <w:szCs w:val="22"/>
        </w:rPr>
        <w:t>, tracking and management MCU resources, as well as provisioning of new and legacy VTC endpoints.</w:t>
      </w:r>
    </w:p>
    <w:p>
      <w:pPr>
        <w:numPr>
          <w:ilvl w:val="0"/>
          <w:numId w:val="1"/>
        </w:numPr>
        <w:ind w:right="-513"/>
        <w:rPr>
          <w:sz w:val="22"/>
          <w:szCs w:val="22"/>
        </w:rPr>
      </w:pPr>
      <w:r>
        <w:rPr>
          <w:sz w:val="22"/>
          <w:szCs w:val="22"/>
        </w:rPr>
        <w:t xml:space="preserve">Real-time Media Experience (RMX):  </w:t>
      </w:r>
      <w:r>
        <w:rPr>
          <w:sz w:val="22"/>
          <w:szCs w:val="22"/>
        </w:rPr>
        <w:t>your bridge for multi-point HD calls, call setup and layout, Multi-network support (H.323, SIP), PSTN and ISDN</w:t>
      </w:r>
      <w:r>
        <w:rPr>
          <w:sz w:val="22"/>
          <w:szCs w:val="22"/>
        </w:rPr>
        <w:t xml:space="preserve">, allows leveraging </w:t>
      </w:r>
      <w:r>
        <w:rPr>
          <w:sz w:val="22"/>
          <w:szCs w:val="22"/>
        </w:rPr>
        <w:t xml:space="preserve">of </w:t>
      </w:r>
      <w:r>
        <w:rPr>
          <w:sz w:val="22"/>
          <w:szCs w:val="22"/>
        </w:rPr>
        <w:t>your existing and future conferences.</w:t>
      </w:r>
    </w:p>
    <w:p>
      <w:pPr>
        <w:numPr>
          <w:ilvl w:val="0"/>
          <w:numId w:val="1"/>
        </w:numPr>
        <w:ind w:right="-513"/>
        <w:rPr>
          <w:sz w:val="22"/>
          <w:szCs w:val="22"/>
        </w:rPr>
      </w:pPr>
      <w:r>
        <w:rPr>
          <w:sz w:val="22"/>
          <w:szCs w:val="22"/>
        </w:rPr>
        <w:t xml:space="preserve">Distributed Media Application (DMA):  </w:t>
      </w:r>
      <w:r>
        <w:rPr>
          <w:sz w:val="22"/>
          <w:szCs w:val="17"/>
          <w:lang/>
        </w:rPr>
        <w:t>network-based application that manages and distributes multipoint video calls within an enterprise network environment for improved reliability, scalability, a</w:t>
      </w:r>
      <w:r>
        <w:rPr>
          <w:sz w:val="22"/>
          <w:szCs w:val="17"/>
          <w:lang/>
        </w:rPr>
        <w:t>nd effici</w:t>
      </w:r>
      <w:r>
        <w:rPr>
          <w:sz w:val="22"/>
          <w:szCs w:val="17"/>
          <w:lang/>
        </w:rPr>
        <w:t>ency of video services</w:t>
      </w:r>
      <w:r>
        <w:rPr>
          <w:sz w:val="22"/>
          <w:szCs w:val="17"/>
          <w:lang/>
        </w:rPr>
        <w:t>.</w:t>
      </w:r>
    </w:p>
    <w:p>
      <w:pPr>
        <w:numPr>
          <w:ilvl w:val="0"/>
          <w:numId w:val="1"/>
        </w:numPr>
        <w:ind w:right="-513"/>
        <w:rPr>
          <w:sz w:val="22"/>
          <w:szCs w:val="22"/>
        </w:rPr>
      </w:pPr>
      <w:r>
        <w:rPr>
          <w:sz w:val="22"/>
          <w:szCs w:val="22"/>
        </w:rPr>
        <w:t xml:space="preserve">Recording and Streaming Server (RSS):  </w:t>
      </w:r>
      <w:r>
        <w:rPr>
          <w:sz w:val="22"/>
          <w:szCs w:val="22"/>
        </w:rPr>
        <w:t xml:space="preserve">records, archives and streams telepresence and video conferences to reduce communication costs. 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We look forward to </w:t>
      </w:r>
      <w:r>
        <w:rPr>
          <w:sz w:val="22"/>
          <w:szCs w:val="22"/>
        </w:rPr>
        <w:t>working with you.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sz w:val="22"/>
          <w:szCs w:val="22"/>
        </w:rPr>
        <w:t>Sincerely,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sz w:val="22"/>
          <w:szCs w:val="22"/>
        </w:rPr>
        <w:t>Joseph E. Moeder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Executive Director</w:t>
      </w:r>
      <w:r>
        <w:rPr>
          <w:sz w:val="22"/>
          <w:szCs w:val="22"/>
        </w:rPr>
        <w:t>, In-Country Manager (Afghanistan)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ManTech Technical Services Group</w:t>
      </w:r>
    </w:p>
    <w:sectPr>
      <w:footerReference w:type="default" r:id="rId8"/>
      <w:pgSz w:w="11907" w:h="16839" w:code="9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D24" w:rsidRDefault="003E7D24" w:rsidP="005515CA">
      <w:r>
        <w:separator/>
      </w:r>
    </w:p>
  </w:endnote>
  <w:endnote w:type="continuationSeparator" w:id="1">
    <w:p w:rsidR="003E7D24" w:rsidRDefault="003E7D24" w:rsidP="00551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5CA" w:rsidRPr="005515CA" w:rsidRDefault="005515CA" w:rsidP="005515CA">
    <w:pPr>
      <w:pStyle w:val="Footer"/>
      <w:jc w:val="center"/>
      <w:rPr>
        <w:sz w:val="20"/>
        <w:szCs w:val="20"/>
      </w:rPr>
    </w:pPr>
    <w:r>
      <w:rPr>
        <w:sz w:val="20"/>
        <w:szCs w:val="20"/>
      </w:rPr>
      <w:t>www.ManTech.com</w:t>
    </w:r>
  </w:p>
  <w:p w:rsidR="005515CA" w:rsidRPr="005515CA" w:rsidRDefault="005515CA">
    <w:pPr>
      <w:pStyle w:val="Footer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D24" w:rsidRDefault="003E7D24" w:rsidP="005515CA">
      <w:r>
        <w:separator/>
      </w:r>
    </w:p>
  </w:footnote>
  <w:footnote w:type="continuationSeparator" w:id="1">
    <w:p w:rsidR="003E7D24" w:rsidRDefault="003E7D24" w:rsidP="005515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03D7B"/>
    <w:multiLevelType w:val="hybridMultilevel"/>
    <w:tmpl w:val="FE06E334"/>
    <w:lvl w:ilvl="0" w:tplc="F23CA838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C32C9B"/>
    <w:rsid w:val="00202A47"/>
    <w:rsid w:val="00272410"/>
    <w:rsid w:val="002D17EE"/>
    <w:rsid w:val="003B7624"/>
    <w:rsid w:val="003E4017"/>
    <w:rsid w:val="003E7D24"/>
    <w:rsid w:val="00403FB0"/>
    <w:rsid w:val="00497902"/>
    <w:rsid w:val="004C3AA1"/>
    <w:rsid w:val="005515CA"/>
    <w:rsid w:val="009D1000"/>
    <w:rsid w:val="00AE1C87"/>
    <w:rsid w:val="00B61AD3"/>
    <w:rsid w:val="00C25369"/>
    <w:rsid w:val="00C32C9B"/>
    <w:rsid w:val="00C61EDF"/>
    <w:rsid w:val="00D779B2"/>
    <w:rsid w:val="00F03040"/>
    <w:rsid w:val="00FC2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link w:val="HeaderChar"/>
    <w:rsid w:val="005515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515C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515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5CA"/>
    <w:rPr>
      <w:sz w:val="24"/>
      <w:szCs w:val="24"/>
    </w:rPr>
  </w:style>
  <w:style w:type="paragraph" w:styleId="BalloonText">
    <w:name w:val="Balloon Text"/>
    <w:basedOn w:val="Normal"/>
    <w:link w:val="BalloonTextChar"/>
    <w:rsid w:val="005515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15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ettings" Target="settings.xml" />
  <Relationship Id="rId7" Type="http://schemas.openxmlformats.org/officeDocument/2006/relationships/image" Target="media/image1.jpeg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366</Words>
  <Characters>2088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2450</CharactersWithSpaces>
  <SharedDoc>false</SharedDoc>
  <HyperlinksChanged>false</HyperlinksChanged>
</Properties>
</file>